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67" w14:textId="77777777" w:rsidR="00462013" w:rsidRPr="008C1657" w:rsidRDefault="00462013" w:rsidP="00462013">
      <w:pPr>
        <w:pStyle w:val="Title"/>
        <w:rPr>
          <w:sz w:val="40"/>
          <w:szCs w:val="40"/>
        </w:rPr>
      </w:pPr>
      <w:r w:rsidRPr="008C1657">
        <w:rPr>
          <w:sz w:val="40"/>
          <w:szCs w:val="40"/>
        </w:rPr>
        <w:t>Conditional Support for Studley Grange Planning Application</w:t>
      </w:r>
    </w:p>
    <w:p w14:paraId="74A8680D" w14:textId="77777777" w:rsidR="00462013" w:rsidRPr="008C1657" w:rsidRDefault="00462013" w:rsidP="00462013">
      <w:pPr>
        <w:pStyle w:val="Heading1"/>
        <w:rPr>
          <w:sz w:val="36"/>
          <w:szCs w:val="36"/>
        </w:rPr>
      </w:pPr>
      <w:r w:rsidRPr="008C1657">
        <w:rPr>
          <w:sz w:val="36"/>
          <w:szCs w:val="36"/>
        </w:rPr>
        <w:t>Statement of Conditional Support</w:t>
      </w:r>
    </w:p>
    <w:p w14:paraId="259B46B5" w14:textId="77777777" w:rsidR="00462013" w:rsidRDefault="00462013" w:rsidP="00462013">
      <w:r w:rsidRPr="00462013">
        <w:t>I wish to state my conditional support for the Studley Grange planning application, subject to the following express requirements and obligations.</w:t>
      </w:r>
    </w:p>
    <w:p w14:paraId="517C4A14" w14:textId="77777777" w:rsidR="00462013" w:rsidRPr="008C1657" w:rsidRDefault="00462013" w:rsidP="00462013">
      <w:pPr>
        <w:pStyle w:val="Heading1"/>
        <w:rPr>
          <w:sz w:val="36"/>
          <w:szCs w:val="36"/>
        </w:rPr>
      </w:pPr>
      <w:r w:rsidRPr="008C1657">
        <w:rPr>
          <w:sz w:val="36"/>
          <w:szCs w:val="36"/>
        </w:rPr>
        <w:t>Key Conditions</w:t>
      </w:r>
    </w:p>
    <w:p w14:paraId="168FB93A" w14:textId="49C6D916" w:rsidR="00462013" w:rsidRDefault="00462013" w:rsidP="004504B5">
      <w:pPr>
        <w:pStyle w:val="ListParagraph"/>
        <w:numPr>
          <w:ilvl w:val="0"/>
          <w:numId w:val="39"/>
        </w:numPr>
        <w:ind w:left="284" w:hanging="284"/>
        <w:jc w:val="both"/>
      </w:pPr>
      <w:r w:rsidRPr="00462013">
        <w:t>No development of the Swindon Speedway track at the Abbey Stadium sh</w:t>
      </w:r>
      <w:r w:rsidR="004504B5">
        <w:t xml:space="preserve">ould </w:t>
      </w:r>
      <w:r w:rsidRPr="00462013">
        <w:t>proceed until the full construction and operational availability of replacement Speedway facilities at Studley Grange.</w:t>
      </w:r>
    </w:p>
    <w:p w14:paraId="150887E7" w14:textId="77777777" w:rsidR="00462013" w:rsidRDefault="00462013" w:rsidP="004504B5">
      <w:pPr>
        <w:pStyle w:val="ListParagraph"/>
        <w:numPr>
          <w:ilvl w:val="0"/>
          <w:numId w:val="39"/>
        </w:numPr>
        <w:ind w:left="284" w:hanging="284"/>
        <w:jc w:val="both"/>
      </w:pPr>
      <w:r w:rsidRPr="00462013">
        <w:t>Any further development at the Abbey Stadium, Blunsdon, Swindon, must be expressly contingent upon the completion of the new Speedway track at Studley Grange and its readiness for Speedway racing.</w:t>
      </w:r>
    </w:p>
    <w:p w14:paraId="60A76B0E" w14:textId="77777777" w:rsidR="00462013" w:rsidRDefault="00462013" w:rsidP="004504B5">
      <w:pPr>
        <w:pStyle w:val="ListParagraph"/>
        <w:numPr>
          <w:ilvl w:val="0"/>
          <w:numId w:val="39"/>
        </w:numPr>
        <w:ind w:left="284" w:hanging="284"/>
        <w:jc w:val="both"/>
      </w:pPr>
      <w:r w:rsidRPr="00462013">
        <w:t>These requirements must be formalised as explicit conditions and legally binding obligations within any planning approvals or agreements relating to the Abbey Stadium site.</w:t>
      </w:r>
    </w:p>
    <w:p w14:paraId="4B73CF72" w14:textId="77777777" w:rsidR="00462013" w:rsidRPr="008C1657" w:rsidRDefault="00462013" w:rsidP="00383F27">
      <w:pPr>
        <w:pStyle w:val="Heading1"/>
        <w:jc w:val="both"/>
        <w:rPr>
          <w:sz w:val="36"/>
          <w:szCs w:val="36"/>
        </w:rPr>
      </w:pPr>
      <w:r w:rsidRPr="008C1657">
        <w:rPr>
          <w:sz w:val="36"/>
          <w:szCs w:val="36"/>
        </w:rPr>
        <w:t>Basis for Conditionality</w:t>
      </w:r>
    </w:p>
    <w:p w14:paraId="579E71B3" w14:textId="77777777" w:rsidR="00462013" w:rsidRDefault="00462013" w:rsidP="00383F27">
      <w:pPr>
        <w:pStyle w:val="ListParagraph"/>
        <w:numPr>
          <w:ilvl w:val="0"/>
          <w:numId w:val="40"/>
        </w:numPr>
        <w:ind w:left="284" w:hanging="284"/>
        <w:jc w:val="both"/>
      </w:pPr>
      <w:r w:rsidRPr="00462013">
        <w:t>National Planning Policy Framework (NPPF) Paragraph 104, which affords protection to sporting facilities at risk of development.</w:t>
      </w:r>
    </w:p>
    <w:p w14:paraId="30F4109D" w14:textId="395A6F6B" w:rsidR="00462013" w:rsidRDefault="00462013" w:rsidP="00383F27">
      <w:pPr>
        <w:pStyle w:val="ListParagraph"/>
        <w:numPr>
          <w:ilvl w:val="0"/>
          <w:numId w:val="40"/>
        </w:numPr>
        <w:ind w:left="284" w:hanging="284"/>
        <w:jc w:val="both"/>
      </w:pPr>
      <w:r w:rsidRPr="00462013">
        <w:t>Local policies governing the provision, retention and enhancement of sport and recreation facilities.</w:t>
      </w:r>
    </w:p>
    <w:p w14:paraId="699F7946" w14:textId="77777777" w:rsidR="00462013" w:rsidRDefault="00462013" w:rsidP="00383F27">
      <w:pPr>
        <w:pStyle w:val="ListParagraph"/>
        <w:numPr>
          <w:ilvl w:val="0"/>
          <w:numId w:val="40"/>
        </w:numPr>
        <w:ind w:left="284" w:hanging="284"/>
        <w:jc w:val="both"/>
      </w:pPr>
      <w:r w:rsidRPr="00462013">
        <w:t>The precedent set by the Coventry Stadium Appeal Decision dated 19 January 2024.</w:t>
      </w:r>
    </w:p>
    <w:p w14:paraId="3895551C" w14:textId="77777777" w:rsidR="00462013" w:rsidRPr="008C1657" w:rsidRDefault="00462013" w:rsidP="00462013">
      <w:pPr>
        <w:pStyle w:val="Heading1"/>
        <w:rPr>
          <w:sz w:val="36"/>
          <w:szCs w:val="36"/>
        </w:rPr>
      </w:pPr>
      <w:r w:rsidRPr="008C1657">
        <w:rPr>
          <w:sz w:val="36"/>
          <w:szCs w:val="36"/>
        </w:rPr>
        <w:t>Confirmation of Conditional Approval</w:t>
      </w:r>
    </w:p>
    <w:p w14:paraId="7579898B" w14:textId="765A983E" w:rsidR="00462013" w:rsidRDefault="00462013" w:rsidP="00383F27">
      <w:pPr>
        <w:jc w:val="both"/>
      </w:pPr>
      <w:r w:rsidRPr="00462013">
        <w:t>On the express basis that the development and availability of a new Speedway track at Studley Grange are secured as conditions and legal obligations for any further development at the Abbey Stadium, I confirm my conditional approval for the Studley Grange planning application.</w:t>
      </w:r>
    </w:p>
    <w:p w14:paraId="15D31AB2" w14:textId="39618598" w:rsidR="00191CAB" w:rsidRDefault="00191CAB" w:rsidP="00462013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Express Rejection</w:t>
      </w:r>
    </w:p>
    <w:p w14:paraId="3401C147" w14:textId="45B66685" w:rsidR="005A1003" w:rsidRPr="005A1003" w:rsidRDefault="00191CAB" w:rsidP="00D474A8">
      <w:pPr>
        <w:jc w:val="both"/>
      </w:pPr>
      <w:r>
        <w:t>I expressly reject the suggestion</w:t>
      </w:r>
      <w:r w:rsidR="005A1003">
        <w:t xml:space="preserve"> </w:t>
      </w:r>
      <w:r>
        <w:t>that the Studley Grange planning application is the</w:t>
      </w:r>
      <w:r w:rsidR="005A1003" w:rsidRPr="005A1003">
        <w:t xml:space="preserve"> “best, and final chance” to secure the future of Speedway in Swindon.</w:t>
      </w:r>
      <w:r w:rsidR="00D474A8">
        <w:t xml:space="preserve">  My conditional support must not be treated as an endorsement of this suggestion.</w:t>
      </w:r>
    </w:p>
    <w:p w14:paraId="531A1A10" w14:textId="0F9D04F0" w:rsidR="00462013" w:rsidRPr="008C1657" w:rsidRDefault="00462013" w:rsidP="00462013">
      <w:pPr>
        <w:pStyle w:val="Heading1"/>
        <w:rPr>
          <w:sz w:val="36"/>
          <w:szCs w:val="36"/>
        </w:rPr>
      </w:pPr>
      <w:r w:rsidRPr="008C1657">
        <w:rPr>
          <w:sz w:val="36"/>
          <w:szCs w:val="36"/>
        </w:rPr>
        <w:t>Further Considerations</w:t>
      </w:r>
    </w:p>
    <w:p w14:paraId="11DFA74F" w14:textId="3336A9BA" w:rsidR="00A66238" w:rsidRPr="0056580F" w:rsidRDefault="00462013" w:rsidP="00383F27">
      <w:pPr>
        <w:jc w:val="both"/>
        <w:rPr>
          <w:rFonts w:cs="Arial"/>
        </w:rPr>
      </w:pPr>
      <w:r w:rsidRPr="0056580F">
        <w:rPr>
          <w:rFonts w:cs="Arial"/>
        </w:rPr>
        <w:t>In considering this application, I draw particular attention to the relevance and primacy of the National Planning Policy Framework (NPPF) in safeguarding sporting infrastructure and ensuring the continuity of Speedway racing in Swindon.</w:t>
      </w:r>
    </w:p>
    <w:p w14:paraId="0BFFC0DD" w14:textId="209A147D" w:rsidR="004504B5" w:rsidRPr="0056580F" w:rsidRDefault="0056580F" w:rsidP="005B76EF">
      <w:pPr>
        <w:jc w:val="both"/>
        <w:rPr>
          <w:rFonts w:cs="Arial"/>
        </w:rPr>
      </w:pPr>
      <w:r w:rsidRPr="0056580F">
        <w:rPr>
          <w:rFonts w:cs="Arial"/>
        </w:rPr>
        <w:t xml:space="preserve">Without compromising </w:t>
      </w:r>
      <w:r w:rsidR="00746008">
        <w:rPr>
          <w:rFonts w:cs="Arial"/>
        </w:rPr>
        <w:t>the essential conditions of my approval, i</w:t>
      </w:r>
      <w:r w:rsidR="00383F27" w:rsidRPr="0056580F">
        <w:rPr>
          <w:rFonts w:cs="Arial"/>
        </w:rPr>
        <w:t>n considering this application I</w:t>
      </w:r>
      <w:r w:rsidR="00A15B21" w:rsidRPr="0056580F">
        <w:rPr>
          <w:rFonts w:cs="Arial"/>
        </w:rPr>
        <w:t xml:space="preserve"> also draw </w:t>
      </w:r>
      <w:r w:rsidR="00383F27" w:rsidRPr="0056580F">
        <w:rPr>
          <w:rFonts w:cs="Arial"/>
        </w:rPr>
        <w:t xml:space="preserve">the Planning Committee’s </w:t>
      </w:r>
      <w:r w:rsidR="00A15B21" w:rsidRPr="0056580F">
        <w:rPr>
          <w:rFonts w:cs="Arial"/>
        </w:rPr>
        <w:t>attention to</w:t>
      </w:r>
      <w:r w:rsidR="00383F27" w:rsidRPr="0056580F">
        <w:rPr>
          <w:rFonts w:cs="Arial"/>
        </w:rPr>
        <w:t xml:space="preserve"> the following positive features</w:t>
      </w:r>
      <w:r w:rsidR="00673363" w:rsidRPr="0056580F">
        <w:rPr>
          <w:rFonts w:cs="Arial"/>
        </w:rPr>
        <w:t>;</w:t>
      </w:r>
    </w:p>
    <w:p w14:paraId="6A1B73F4" w14:textId="48CE1537" w:rsidR="00AF006A" w:rsidRPr="003B0871" w:rsidRDefault="00AF006A" w:rsidP="00CE27B0">
      <w:pPr>
        <w:pStyle w:val="ListParagraph"/>
        <w:numPr>
          <w:ilvl w:val="0"/>
          <w:numId w:val="37"/>
        </w:numPr>
        <w:ind w:left="0" w:hanging="284"/>
        <w:jc w:val="both"/>
        <w:rPr>
          <w:rFonts w:asciiTheme="majorHAnsi" w:hAnsiTheme="majorHAnsi"/>
          <w:sz w:val="36"/>
          <w:szCs w:val="36"/>
        </w:rPr>
      </w:pPr>
      <w:r w:rsidRPr="003B0871">
        <w:rPr>
          <w:rFonts w:asciiTheme="majorHAnsi" w:hAnsiTheme="majorHAnsi"/>
          <w:sz w:val="36"/>
          <w:szCs w:val="36"/>
        </w:rPr>
        <w:t>National Planning Policy Framework (NPPF)</w:t>
      </w:r>
    </w:p>
    <w:p w14:paraId="3A3C4902" w14:textId="77777777" w:rsidR="00AF006A" w:rsidRPr="00746008" w:rsidRDefault="00AF006A" w:rsidP="00B81B0B">
      <w:pPr>
        <w:jc w:val="both"/>
        <w:rPr>
          <w:rFonts w:cs="Arial"/>
        </w:rPr>
      </w:pPr>
      <w:r w:rsidRPr="00746008">
        <w:rPr>
          <w:rFonts w:cs="Arial"/>
        </w:rPr>
        <w:t>The proposal aligns with several key principles of the NPPF:</w:t>
      </w:r>
    </w:p>
    <w:p w14:paraId="35C9A4C0" w14:textId="7833FABD" w:rsidR="00AF006A" w:rsidRPr="00746008" w:rsidRDefault="00AF006A" w:rsidP="00CE27B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lastRenderedPageBreak/>
        <w:t>Paragraph 40</w:t>
      </w:r>
      <w:r w:rsidRPr="00746008">
        <w:rPr>
          <w:rFonts w:cs="Arial"/>
        </w:rPr>
        <w:t>: Encourages early and effective pre-application engagement. The applicant undertook extensive consultation with Wiltshire Council, stakeholders, and the public, resulting in 84% support for the development.</w:t>
      </w:r>
    </w:p>
    <w:p w14:paraId="13C2171F" w14:textId="6DD8B706" w:rsidR="00AF006A" w:rsidRPr="00746008" w:rsidRDefault="00AF006A" w:rsidP="00CE27B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Sustainable Development</w:t>
      </w:r>
      <w:r w:rsidRPr="00746008">
        <w:rPr>
          <w:rFonts w:cs="Arial"/>
        </w:rPr>
        <w:t>: The scheme promotes economic, social and environmental sustainability through job creation, biodiversity net gain and community engagement.</w:t>
      </w:r>
    </w:p>
    <w:p w14:paraId="17FDAAAD" w14:textId="299757C7" w:rsidR="00AF006A" w:rsidRPr="00746008" w:rsidRDefault="00AF006A" w:rsidP="00CE27B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Previously Developed Land</w:t>
      </w:r>
      <w:r w:rsidRPr="00746008">
        <w:rPr>
          <w:rFonts w:cs="Arial"/>
        </w:rPr>
        <w:t>: The site includes restored landfill areas, supporting the NPPF’s preference for reusing brownfield land.</w:t>
      </w:r>
    </w:p>
    <w:p w14:paraId="79895AFA" w14:textId="18C75071" w:rsidR="00AF006A" w:rsidRPr="00746008" w:rsidRDefault="00AF006A" w:rsidP="00CE27B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Leisure and Recreation</w:t>
      </w:r>
      <w:r w:rsidRPr="00746008">
        <w:rPr>
          <w:rFonts w:cs="Arial"/>
        </w:rPr>
        <w:t>: The motorsports park is classified as a leisure use, contributing to community well-being and active lifestyles.</w:t>
      </w:r>
    </w:p>
    <w:p w14:paraId="74427DC1" w14:textId="5C291D53" w:rsidR="00AF006A" w:rsidRPr="003B0871" w:rsidRDefault="00AF006A" w:rsidP="00CE27B0">
      <w:pPr>
        <w:pStyle w:val="ListParagraph"/>
        <w:numPr>
          <w:ilvl w:val="0"/>
          <w:numId w:val="37"/>
        </w:numPr>
        <w:ind w:left="0" w:hanging="284"/>
        <w:jc w:val="both"/>
        <w:rPr>
          <w:rFonts w:asciiTheme="majorHAnsi" w:hAnsiTheme="majorHAnsi"/>
          <w:sz w:val="36"/>
          <w:szCs w:val="36"/>
        </w:rPr>
      </w:pPr>
      <w:r w:rsidRPr="003B0871">
        <w:rPr>
          <w:rFonts w:asciiTheme="majorHAnsi" w:hAnsiTheme="majorHAnsi"/>
          <w:sz w:val="36"/>
          <w:szCs w:val="36"/>
        </w:rPr>
        <w:t>Wiltshire Core Strategy Policies</w:t>
      </w:r>
    </w:p>
    <w:p w14:paraId="35DF4B5A" w14:textId="77777777" w:rsidR="00AF006A" w:rsidRPr="00746008" w:rsidRDefault="00AF006A" w:rsidP="00B81B0B">
      <w:pPr>
        <w:jc w:val="both"/>
        <w:rPr>
          <w:rFonts w:cs="Arial"/>
        </w:rPr>
      </w:pPr>
      <w:r w:rsidRPr="00746008">
        <w:rPr>
          <w:rFonts w:cs="Arial"/>
        </w:rPr>
        <w:t>The proposal is assessed against several Wiltshire Council policies:</w:t>
      </w:r>
    </w:p>
    <w:p w14:paraId="525A8772" w14:textId="29DFC448" w:rsidR="00AF006A" w:rsidRPr="00746008" w:rsidRDefault="00AF006A" w:rsidP="00CE27B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Core Policy 34 (Employment Uses in the Countryside)</w:t>
      </w:r>
      <w:r w:rsidRPr="00746008">
        <w:rPr>
          <w:rFonts w:cs="Arial"/>
        </w:rPr>
        <w:t>: The business centre and motorsports facilities support rural employment and diversification.</w:t>
      </w:r>
    </w:p>
    <w:p w14:paraId="760B12C0" w14:textId="0879B53B" w:rsidR="00AF006A" w:rsidRPr="00746008" w:rsidRDefault="00AF006A" w:rsidP="00CE27B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Core Policy 51 (Landscape)</w:t>
      </w:r>
      <w:r w:rsidRPr="00746008">
        <w:rPr>
          <w:rFonts w:cs="Arial"/>
        </w:rPr>
        <w:t>: The Landscape Visual Impact Assessment addresses potential impacts on the North Wessex Downs National Landscape, with mitigation strategies proposed.</w:t>
      </w:r>
    </w:p>
    <w:p w14:paraId="21DB56FF" w14:textId="349779D2" w:rsidR="00AF006A" w:rsidRPr="00746008" w:rsidRDefault="00AF006A" w:rsidP="00CE27B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Core Policy 58 (Historic Environment)</w:t>
      </w:r>
      <w:r w:rsidRPr="00746008">
        <w:rPr>
          <w:rFonts w:cs="Arial"/>
        </w:rPr>
        <w:t>: The refurbishment of the Grade II listed Studley Grange Farmhouse aligns with heritage conservation goals. The building is currently at risk and the proposal offers a viable restoration strategy.</w:t>
      </w:r>
    </w:p>
    <w:p w14:paraId="76A5493A" w14:textId="758EE3AA" w:rsidR="00AF006A" w:rsidRPr="00746008" w:rsidRDefault="00AF006A" w:rsidP="00CE27B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Core Policy 61 (Transport and Accessibility)</w:t>
      </w:r>
      <w:r w:rsidRPr="00746008">
        <w:rPr>
          <w:rFonts w:cs="Arial"/>
        </w:rPr>
        <w:t>: The site is well-connected via Junction 16 of the M4 and includes active travel infrastructure improvements.</w:t>
      </w:r>
    </w:p>
    <w:p w14:paraId="3DF7390C" w14:textId="551708A1" w:rsidR="00AF006A" w:rsidRPr="00746008" w:rsidRDefault="00AF006A" w:rsidP="00CE27B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746008">
        <w:rPr>
          <w:rFonts w:cs="Arial"/>
          <w:b/>
          <w:bCs/>
        </w:rPr>
        <w:t>Core Policy 67 (Flood Risk)</w:t>
      </w:r>
      <w:r w:rsidRPr="00746008">
        <w:rPr>
          <w:rFonts w:cs="Arial"/>
        </w:rPr>
        <w:t>: The site is in Flood Zone 1 and includes a robust drainage strategy to mitigate surface water flooding.</w:t>
      </w:r>
    </w:p>
    <w:p w14:paraId="4C6725CA" w14:textId="68374E20" w:rsidR="00AF006A" w:rsidRPr="003B0871" w:rsidRDefault="00AF006A" w:rsidP="00CE27B0">
      <w:pPr>
        <w:pStyle w:val="ListParagraph"/>
        <w:numPr>
          <w:ilvl w:val="0"/>
          <w:numId w:val="37"/>
        </w:numPr>
        <w:ind w:left="0" w:hanging="284"/>
        <w:jc w:val="both"/>
        <w:rPr>
          <w:rFonts w:asciiTheme="majorHAnsi" w:hAnsiTheme="majorHAnsi"/>
          <w:sz w:val="36"/>
          <w:szCs w:val="36"/>
        </w:rPr>
      </w:pPr>
      <w:r w:rsidRPr="003B0871">
        <w:rPr>
          <w:rFonts w:asciiTheme="majorHAnsi" w:hAnsiTheme="majorHAnsi"/>
          <w:sz w:val="36"/>
          <w:szCs w:val="36"/>
        </w:rPr>
        <w:t>Environmental and Technical Compliance</w:t>
      </w:r>
    </w:p>
    <w:p w14:paraId="2C219279" w14:textId="3DBE1562" w:rsidR="00AF006A" w:rsidRPr="00F32539" w:rsidRDefault="00AF006A" w:rsidP="00CE27B0">
      <w:pPr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F32539">
        <w:rPr>
          <w:rFonts w:cs="Arial"/>
          <w:b/>
          <w:bCs/>
        </w:rPr>
        <w:t>Biodiversity Net Gain</w:t>
      </w:r>
      <w:r w:rsidRPr="00F32539">
        <w:rPr>
          <w:rFonts w:cs="Arial"/>
        </w:rPr>
        <w:t>: The proposal achieves a minimum 10% BNG, meeting statutory requirements and enhancing local ecology.</w:t>
      </w:r>
    </w:p>
    <w:p w14:paraId="1EFCE880" w14:textId="073F2B30" w:rsidR="00AF006A" w:rsidRPr="00F32539" w:rsidRDefault="00AF006A" w:rsidP="00CE27B0">
      <w:pPr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F32539">
        <w:rPr>
          <w:rFonts w:cs="Arial"/>
          <w:b/>
          <w:bCs/>
        </w:rPr>
        <w:t>Noise and Public Protection</w:t>
      </w:r>
      <w:r w:rsidRPr="00F32539">
        <w:rPr>
          <w:rFonts w:cs="Arial"/>
        </w:rPr>
        <w:t>: A comprehensive noise impact assessment is included to address concerns from nearby receptors.</w:t>
      </w:r>
    </w:p>
    <w:p w14:paraId="67704758" w14:textId="501D5CB6" w:rsidR="00AF006A" w:rsidRPr="00F32539" w:rsidRDefault="00AF006A" w:rsidP="00CE27B0">
      <w:pPr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F32539">
        <w:rPr>
          <w:rFonts w:cs="Arial"/>
          <w:b/>
          <w:bCs/>
        </w:rPr>
        <w:t>Sustainable Energy and Carbon</w:t>
      </w:r>
      <w:r w:rsidRPr="00F32539">
        <w:rPr>
          <w:rFonts w:cs="Arial"/>
        </w:rPr>
        <w:t>: The proposal includes PV panels and aims for BREEAM ‘Excellent’ certification. An Embodied Carbon Assessment is planned in line with the emerging local plan.</w:t>
      </w:r>
    </w:p>
    <w:p w14:paraId="6B3B394D" w14:textId="01057EB0" w:rsidR="00AF006A" w:rsidRPr="00F56D78" w:rsidRDefault="00AF006A" w:rsidP="00CE27B0">
      <w:pPr>
        <w:pStyle w:val="ListParagraph"/>
        <w:numPr>
          <w:ilvl w:val="0"/>
          <w:numId w:val="37"/>
        </w:numPr>
        <w:ind w:left="0" w:hanging="284"/>
        <w:jc w:val="both"/>
        <w:rPr>
          <w:rFonts w:asciiTheme="majorHAnsi" w:hAnsiTheme="majorHAnsi"/>
          <w:sz w:val="36"/>
          <w:szCs w:val="36"/>
        </w:rPr>
      </w:pPr>
      <w:r w:rsidRPr="00F56D78">
        <w:rPr>
          <w:rFonts w:asciiTheme="majorHAnsi" w:hAnsiTheme="majorHAnsi"/>
          <w:sz w:val="36"/>
          <w:szCs w:val="36"/>
        </w:rPr>
        <w:t>Planning History and Precedent</w:t>
      </w:r>
    </w:p>
    <w:p w14:paraId="5A122CF7" w14:textId="20EF8461" w:rsidR="00AF006A" w:rsidRPr="00F32539" w:rsidRDefault="00AF006A" w:rsidP="00F56D78">
      <w:pPr>
        <w:ind w:left="284"/>
        <w:jc w:val="both"/>
        <w:rPr>
          <w:rFonts w:cs="Arial"/>
        </w:rPr>
      </w:pPr>
      <w:r w:rsidRPr="00F32539">
        <w:rPr>
          <w:rFonts w:cs="Arial"/>
        </w:rPr>
        <w:t>The site has a history of approved developments including restoration schemes and recreational uses, demonstrating its suitability for leisure and mixed-use development</w:t>
      </w:r>
      <w:r w:rsidR="00A46869" w:rsidRPr="00F32539">
        <w:rPr>
          <w:rFonts w:cs="Arial"/>
        </w:rPr>
        <w:t>.</w:t>
      </w:r>
    </w:p>
    <w:p w14:paraId="151ECBA7" w14:textId="77777777" w:rsidR="00174B00" w:rsidRPr="00F32539" w:rsidRDefault="00AF006A" w:rsidP="00F56D78">
      <w:pPr>
        <w:ind w:left="284"/>
        <w:jc w:val="both"/>
        <w:rPr>
          <w:rFonts w:cs="Arial"/>
        </w:rPr>
      </w:pPr>
      <w:r w:rsidRPr="00F32539">
        <w:rPr>
          <w:rFonts w:cs="Arial"/>
        </w:rPr>
        <w:t>The proposal is consistent with other approved applications in the area, such as the crematorium and motorway rest area, which support infrastructure and community needs.</w:t>
      </w:r>
    </w:p>
    <w:p w14:paraId="124D5301" w14:textId="7C231811" w:rsidR="00174B00" w:rsidRPr="00F56D78" w:rsidRDefault="00174B00" w:rsidP="00174B00">
      <w:pPr>
        <w:pStyle w:val="ListParagraph"/>
        <w:numPr>
          <w:ilvl w:val="0"/>
          <w:numId w:val="37"/>
        </w:numPr>
        <w:ind w:left="284" w:hanging="568"/>
        <w:jc w:val="both"/>
        <w:rPr>
          <w:rFonts w:asciiTheme="majorHAnsi" w:hAnsiTheme="majorHAnsi"/>
          <w:sz w:val="36"/>
          <w:szCs w:val="36"/>
        </w:rPr>
      </w:pPr>
      <w:r w:rsidRPr="00F56D78">
        <w:rPr>
          <w:rFonts w:asciiTheme="majorHAnsi" w:hAnsiTheme="majorHAnsi"/>
          <w:sz w:val="36"/>
          <w:szCs w:val="36"/>
        </w:rPr>
        <w:t>Noise Impact Assessment</w:t>
      </w:r>
    </w:p>
    <w:p w14:paraId="3B75F886" w14:textId="6E5E5954" w:rsidR="00174B00" w:rsidRPr="00F32539" w:rsidRDefault="00174B00" w:rsidP="00174B00">
      <w:pPr>
        <w:ind w:left="284"/>
        <w:jc w:val="both"/>
        <w:rPr>
          <w:rFonts w:cs="Arial"/>
        </w:rPr>
      </w:pPr>
      <w:r w:rsidRPr="00F32539">
        <w:rPr>
          <w:rFonts w:cs="Arial"/>
        </w:rPr>
        <w:t>The Noise impact assessment evaluates motorsport-related noise impacts on nearby receptors including homes, farms, a crematorium, and Studley Grange Garden Centre.</w:t>
      </w:r>
    </w:p>
    <w:p w14:paraId="37CBF822" w14:textId="77777777" w:rsidR="00174B00" w:rsidRPr="00F32539" w:rsidRDefault="00174B00" w:rsidP="00174B00">
      <w:pPr>
        <w:ind w:firstLine="284"/>
        <w:jc w:val="both"/>
        <w:rPr>
          <w:rFonts w:cs="Arial"/>
        </w:rPr>
      </w:pPr>
      <w:r w:rsidRPr="00F32539">
        <w:rPr>
          <w:rFonts w:cs="Arial"/>
        </w:rPr>
        <w:t>Mitigation includes:</w:t>
      </w:r>
    </w:p>
    <w:p w14:paraId="26FB06D2" w14:textId="36091541" w:rsidR="00174B00" w:rsidRPr="00F32539" w:rsidRDefault="00174B00" w:rsidP="002D6CCE">
      <w:pPr>
        <w:pStyle w:val="ListParagraph"/>
        <w:numPr>
          <w:ilvl w:val="2"/>
          <w:numId w:val="4"/>
        </w:numPr>
        <w:ind w:left="567" w:hanging="283"/>
        <w:jc w:val="both"/>
        <w:rPr>
          <w:rFonts w:cs="Arial"/>
        </w:rPr>
      </w:pPr>
      <w:r w:rsidRPr="00F32539">
        <w:rPr>
          <w:rFonts w:cs="Arial"/>
        </w:rPr>
        <w:lastRenderedPageBreak/>
        <w:t>Natural attenuation via topography and distance.</w:t>
      </w:r>
    </w:p>
    <w:p w14:paraId="0741714C" w14:textId="77777777" w:rsidR="00174B00" w:rsidRPr="00F32539" w:rsidRDefault="00174B00" w:rsidP="002D6CCE">
      <w:pPr>
        <w:pStyle w:val="ListParagraph"/>
        <w:numPr>
          <w:ilvl w:val="2"/>
          <w:numId w:val="4"/>
        </w:numPr>
        <w:ind w:left="567" w:hanging="283"/>
        <w:jc w:val="both"/>
        <w:rPr>
          <w:rFonts w:cs="Arial"/>
        </w:rPr>
      </w:pPr>
      <w:r w:rsidRPr="00F32539">
        <w:rPr>
          <w:rFonts w:cs="Arial"/>
        </w:rPr>
        <w:t>Strategic site layout and landscaping.</w:t>
      </w:r>
    </w:p>
    <w:p w14:paraId="74A41D44" w14:textId="77777777" w:rsidR="00174B00" w:rsidRPr="00F32539" w:rsidRDefault="00174B00" w:rsidP="002D6CCE">
      <w:pPr>
        <w:pStyle w:val="ListParagraph"/>
        <w:numPr>
          <w:ilvl w:val="2"/>
          <w:numId w:val="4"/>
        </w:numPr>
        <w:ind w:left="567" w:hanging="283"/>
        <w:jc w:val="both"/>
        <w:rPr>
          <w:rFonts w:cs="Arial"/>
        </w:rPr>
      </w:pPr>
      <w:r w:rsidRPr="00F32539">
        <w:rPr>
          <w:rFonts w:cs="Arial"/>
        </w:rPr>
        <w:t>Noise barriers.</w:t>
      </w:r>
    </w:p>
    <w:p w14:paraId="57039D6E" w14:textId="77777777" w:rsidR="00174B00" w:rsidRPr="00F32539" w:rsidRDefault="00174B00" w:rsidP="00174B00">
      <w:pPr>
        <w:ind w:left="284"/>
        <w:jc w:val="both"/>
        <w:rPr>
          <w:rFonts w:cs="Arial"/>
        </w:rPr>
      </w:pPr>
      <w:r w:rsidRPr="00F32539">
        <w:rPr>
          <w:rFonts w:cs="Arial"/>
        </w:rPr>
        <w:t>Speedway noise is predicted to be non-dominant and infrequent, with acceptable levels under varying wind conditions.</w:t>
      </w:r>
    </w:p>
    <w:p w14:paraId="74658E2F" w14:textId="73BE8F24" w:rsidR="00AF006A" w:rsidRPr="00F56D78" w:rsidRDefault="00AF006A" w:rsidP="00FB26F8">
      <w:pPr>
        <w:numPr>
          <w:ilvl w:val="0"/>
          <w:numId w:val="37"/>
        </w:numPr>
        <w:ind w:left="284" w:hanging="568"/>
        <w:jc w:val="both"/>
        <w:rPr>
          <w:rFonts w:asciiTheme="majorHAnsi" w:hAnsiTheme="majorHAnsi"/>
          <w:sz w:val="36"/>
          <w:szCs w:val="36"/>
        </w:rPr>
      </w:pPr>
      <w:r w:rsidRPr="00F56D78">
        <w:rPr>
          <w:rFonts w:asciiTheme="majorHAnsi" w:hAnsiTheme="majorHAnsi"/>
          <w:sz w:val="36"/>
          <w:szCs w:val="36"/>
        </w:rPr>
        <w:t>Biodiversity Net Gain (BNG) Assessment</w:t>
      </w:r>
    </w:p>
    <w:p w14:paraId="770C8AB8" w14:textId="7749D6B2" w:rsidR="00AF006A" w:rsidRPr="00F32539" w:rsidRDefault="00AF006A" w:rsidP="00CE27B0">
      <w:pPr>
        <w:numPr>
          <w:ilvl w:val="0"/>
          <w:numId w:val="5"/>
        </w:numPr>
        <w:jc w:val="both"/>
        <w:rPr>
          <w:rFonts w:cs="Arial"/>
        </w:rPr>
      </w:pPr>
      <w:r w:rsidRPr="00F32539">
        <w:rPr>
          <w:rFonts w:cs="Arial"/>
        </w:rPr>
        <w:t>The Biodiversity Net Gain Technical Report confirms a preliminary BNG of 10.37%, exceeding the statutory minimum.</w:t>
      </w:r>
    </w:p>
    <w:p w14:paraId="3732B98B" w14:textId="77777777" w:rsidR="00AF006A" w:rsidRPr="00F32539" w:rsidRDefault="00AF006A" w:rsidP="00CE27B0">
      <w:pPr>
        <w:numPr>
          <w:ilvl w:val="0"/>
          <w:numId w:val="5"/>
        </w:numPr>
        <w:jc w:val="both"/>
        <w:rPr>
          <w:rFonts w:cs="Arial"/>
        </w:rPr>
      </w:pPr>
      <w:r w:rsidRPr="00F32539">
        <w:rPr>
          <w:rFonts w:cs="Arial"/>
        </w:rPr>
        <w:t>Habitats include woodland, scrub, ponds, open mosaic habitat (OMH), and grasslands.</w:t>
      </w:r>
    </w:p>
    <w:p w14:paraId="3004D759" w14:textId="1B4B5AB5" w:rsidR="00AF006A" w:rsidRPr="00F32539" w:rsidRDefault="00AF006A" w:rsidP="00CE27B0">
      <w:pPr>
        <w:numPr>
          <w:ilvl w:val="0"/>
          <w:numId w:val="5"/>
        </w:numPr>
        <w:jc w:val="both"/>
        <w:rPr>
          <w:rFonts w:cs="Arial"/>
        </w:rPr>
      </w:pPr>
      <w:r w:rsidRPr="00F32539">
        <w:rPr>
          <w:rFonts w:cs="Arial"/>
        </w:rPr>
        <w:t>A full UKHab survey and condition assessment is underway to refine the baseline and ensure compliance with the Environment Act 2021.</w:t>
      </w:r>
    </w:p>
    <w:p w14:paraId="40C4AD39" w14:textId="4EDA73AD" w:rsidR="00AF006A" w:rsidRPr="00F56D78" w:rsidRDefault="00576789" w:rsidP="00B81B0B">
      <w:pPr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7</w:t>
      </w:r>
      <w:r w:rsidR="00AF006A" w:rsidRPr="00F56D78">
        <w:rPr>
          <w:rFonts w:asciiTheme="majorHAnsi" w:hAnsiTheme="majorHAnsi"/>
          <w:sz w:val="36"/>
          <w:szCs w:val="36"/>
        </w:rPr>
        <w:t xml:space="preserve">. Landscape and Visual Impact Assessment </w:t>
      </w:r>
    </w:p>
    <w:p w14:paraId="54362D10" w14:textId="0A3B433F" w:rsidR="00AF006A" w:rsidRPr="00F32539" w:rsidRDefault="00AF006A" w:rsidP="00F56D78">
      <w:pPr>
        <w:ind w:firstLine="426"/>
        <w:jc w:val="both"/>
        <w:rPr>
          <w:rFonts w:cs="Arial"/>
        </w:rPr>
      </w:pPr>
      <w:r w:rsidRPr="00F32539">
        <w:rPr>
          <w:rFonts w:cs="Arial"/>
        </w:rPr>
        <w:t>The Landscape and Visual Impact Assessment addresses:</w:t>
      </w:r>
    </w:p>
    <w:p w14:paraId="3D6B91FC" w14:textId="77777777" w:rsidR="00AF006A" w:rsidRPr="00F32539" w:rsidRDefault="00AF006A" w:rsidP="00F56D78">
      <w:pPr>
        <w:numPr>
          <w:ilvl w:val="1"/>
          <w:numId w:val="8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Impacts on the North Wessex Downs National Landscape.</w:t>
      </w:r>
    </w:p>
    <w:p w14:paraId="62CC3BD9" w14:textId="77777777" w:rsidR="00AF006A" w:rsidRPr="00F32539" w:rsidRDefault="00AF006A" w:rsidP="00F56D78">
      <w:pPr>
        <w:numPr>
          <w:ilvl w:val="1"/>
          <w:numId w:val="8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Integration of the development with existing landform and vegetation.</w:t>
      </w:r>
    </w:p>
    <w:p w14:paraId="5020E2BA" w14:textId="0B60FA83" w:rsidR="00AF006A" w:rsidRPr="00F32539" w:rsidRDefault="00AF006A" w:rsidP="00F56D78">
      <w:pPr>
        <w:numPr>
          <w:ilvl w:val="1"/>
          <w:numId w:val="8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Use of planting and layout to minimise visual intrusion.</w:t>
      </w:r>
    </w:p>
    <w:p w14:paraId="520C4032" w14:textId="35E1780F" w:rsidR="00AF006A" w:rsidRPr="00F56D78" w:rsidRDefault="00576789" w:rsidP="00B81B0B">
      <w:pPr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8</w:t>
      </w:r>
      <w:r w:rsidR="00AF006A" w:rsidRPr="00F56D78">
        <w:rPr>
          <w:rFonts w:asciiTheme="majorHAnsi" w:hAnsiTheme="majorHAnsi"/>
          <w:sz w:val="36"/>
          <w:szCs w:val="36"/>
        </w:rPr>
        <w:t>. Lighting Assessment</w:t>
      </w:r>
    </w:p>
    <w:p w14:paraId="3B07A8F0" w14:textId="00990E15" w:rsidR="00AF006A" w:rsidRPr="00F32539" w:rsidRDefault="00AF006A" w:rsidP="00F56D78">
      <w:pPr>
        <w:ind w:firstLine="426"/>
        <w:jc w:val="both"/>
        <w:rPr>
          <w:rFonts w:cs="Arial"/>
        </w:rPr>
      </w:pPr>
      <w:r w:rsidRPr="00F32539">
        <w:rPr>
          <w:rFonts w:cs="Arial"/>
        </w:rPr>
        <w:t>The Lighting Assessment outlines a strategy to:</w:t>
      </w:r>
    </w:p>
    <w:p w14:paraId="2FE8D2CF" w14:textId="77777777" w:rsidR="00AF006A" w:rsidRPr="00F32539" w:rsidRDefault="00AF006A" w:rsidP="00F56D7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Minimise light spill and glare.</w:t>
      </w:r>
    </w:p>
    <w:p w14:paraId="11EC1DF4" w14:textId="77777777" w:rsidR="00AF006A" w:rsidRPr="00F32539" w:rsidRDefault="00AF006A" w:rsidP="00F56D7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Protect nocturnal wildlife.</w:t>
      </w:r>
    </w:p>
    <w:p w14:paraId="2A45C972" w14:textId="4DF4E1F0" w:rsidR="00AF006A" w:rsidRPr="00F32539" w:rsidRDefault="00AF006A" w:rsidP="00F56D7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rFonts w:cs="Arial"/>
        </w:rPr>
      </w:pPr>
      <w:r w:rsidRPr="00F32539">
        <w:rPr>
          <w:rFonts w:cs="Arial"/>
        </w:rPr>
        <w:t>Ensure compliance with environmental lighting standards.</w:t>
      </w:r>
    </w:p>
    <w:p w14:paraId="12F97ACA" w14:textId="79D4EAF2" w:rsidR="00AF006A" w:rsidRPr="00F56D78" w:rsidRDefault="00576789" w:rsidP="00B81B0B">
      <w:pPr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9</w:t>
      </w:r>
      <w:r w:rsidR="00AF006A" w:rsidRPr="00F56D78">
        <w:rPr>
          <w:rFonts w:asciiTheme="majorHAnsi" w:hAnsiTheme="majorHAnsi"/>
          <w:sz w:val="36"/>
          <w:szCs w:val="36"/>
        </w:rPr>
        <w:t>. Ground Conditions and Remediation</w:t>
      </w:r>
    </w:p>
    <w:p w14:paraId="07E85341" w14:textId="60E0783D" w:rsidR="00AF006A" w:rsidRPr="00F32539" w:rsidRDefault="00AF006A" w:rsidP="00F56D78">
      <w:pPr>
        <w:ind w:firstLine="426"/>
        <w:jc w:val="both"/>
        <w:rPr>
          <w:rFonts w:cs="Arial"/>
        </w:rPr>
      </w:pPr>
      <w:r w:rsidRPr="00F32539">
        <w:rPr>
          <w:rFonts w:cs="Arial"/>
        </w:rPr>
        <w:t xml:space="preserve">The </w:t>
      </w:r>
      <w:r w:rsidR="00F56D78" w:rsidRPr="00F32539">
        <w:rPr>
          <w:rFonts w:cs="Arial"/>
        </w:rPr>
        <w:t xml:space="preserve">Remediation Strategy </w:t>
      </w:r>
      <w:r w:rsidRPr="00F32539">
        <w:rPr>
          <w:rFonts w:cs="Arial"/>
        </w:rPr>
        <w:t>includes:</w:t>
      </w:r>
    </w:p>
    <w:p w14:paraId="76CE9D1B" w14:textId="77777777" w:rsidR="00AF006A" w:rsidRPr="00F32539" w:rsidRDefault="00AF006A" w:rsidP="00F56D78">
      <w:pPr>
        <w:numPr>
          <w:ilvl w:val="1"/>
          <w:numId w:val="10"/>
        </w:numPr>
        <w:tabs>
          <w:tab w:val="clear" w:pos="1440"/>
        </w:tabs>
        <w:ind w:left="709" w:hanging="283"/>
        <w:jc w:val="both"/>
        <w:rPr>
          <w:rFonts w:cs="Arial"/>
        </w:rPr>
      </w:pPr>
      <w:r w:rsidRPr="00F32539">
        <w:rPr>
          <w:rFonts w:cs="Arial"/>
        </w:rPr>
        <w:t>Tiered risk assessments for contamination and groundwater.</w:t>
      </w:r>
    </w:p>
    <w:p w14:paraId="6F6E135C" w14:textId="77777777" w:rsidR="00AF006A" w:rsidRPr="00F32539" w:rsidRDefault="00AF006A" w:rsidP="00F56D78">
      <w:pPr>
        <w:numPr>
          <w:ilvl w:val="1"/>
          <w:numId w:val="10"/>
        </w:numPr>
        <w:tabs>
          <w:tab w:val="clear" w:pos="1440"/>
        </w:tabs>
        <w:ind w:left="709" w:hanging="283"/>
        <w:jc w:val="both"/>
        <w:rPr>
          <w:rFonts w:cs="Arial"/>
        </w:rPr>
      </w:pPr>
      <w:r w:rsidRPr="00F32539">
        <w:rPr>
          <w:rFonts w:cs="Arial"/>
        </w:rPr>
        <w:t>Proposed earthworks and constraints.</w:t>
      </w:r>
    </w:p>
    <w:p w14:paraId="6CE9A8AE" w14:textId="18347F99" w:rsidR="00AF006A" w:rsidRPr="00F32539" w:rsidRDefault="00AF006A" w:rsidP="00F56D78">
      <w:pPr>
        <w:numPr>
          <w:ilvl w:val="1"/>
          <w:numId w:val="10"/>
        </w:numPr>
        <w:tabs>
          <w:tab w:val="clear" w:pos="1440"/>
        </w:tabs>
        <w:ind w:left="709" w:hanging="283"/>
        <w:jc w:val="both"/>
        <w:rPr>
          <w:rFonts w:cs="Arial"/>
        </w:rPr>
      </w:pPr>
      <w:r w:rsidRPr="00F32539">
        <w:rPr>
          <w:rFonts w:cs="Arial"/>
        </w:rPr>
        <w:t>Verification strategy for remediation.</w:t>
      </w:r>
    </w:p>
    <w:p w14:paraId="1A8193B6" w14:textId="77777777" w:rsidR="00B81B0B" w:rsidRDefault="00B81B0B" w:rsidP="00B81B0B">
      <w:pPr>
        <w:jc w:val="both"/>
        <w:rPr>
          <w:sz w:val="20"/>
          <w:szCs w:val="20"/>
        </w:rPr>
      </w:pPr>
    </w:p>
    <w:sectPr w:rsidR="00B81B0B" w:rsidSect="00AF0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709" w:left="1440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9CCD" w14:textId="77777777" w:rsidR="00F556FA" w:rsidRDefault="00F556FA" w:rsidP="00AF006A">
      <w:pPr>
        <w:spacing w:after="0" w:line="240" w:lineRule="auto"/>
      </w:pPr>
      <w:r>
        <w:separator/>
      </w:r>
    </w:p>
  </w:endnote>
  <w:endnote w:type="continuationSeparator" w:id="0">
    <w:p w14:paraId="1D00D35F" w14:textId="77777777" w:rsidR="00F556FA" w:rsidRDefault="00F556FA" w:rsidP="00AF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6FA8" w14:textId="77777777" w:rsidR="0073643B" w:rsidRDefault="00736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409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DB635" w14:textId="4C4A014F" w:rsidR="00AF006A" w:rsidRDefault="00AF0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BAD9A" w14:textId="77777777" w:rsidR="00AF006A" w:rsidRDefault="00AF0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3C26" w14:textId="77777777" w:rsidR="0073643B" w:rsidRDefault="0073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9998" w14:textId="77777777" w:rsidR="00F556FA" w:rsidRDefault="00F556FA" w:rsidP="00AF006A">
      <w:pPr>
        <w:spacing w:after="0" w:line="240" w:lineRule="auto"/>
      </w:pPr>
      <w:r>
        <w:separator/>
      </w:r>
    </w:p>
  </w:footnote>
  <w:footnote w:type="continuationSeparator" w:id="0">
    <w:p w14:paraId="5443454F" w14:textId="77777777" w:rsidR="00F556FA" w:rsidRDefault="00F556FA" w:rsidP="00AF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CE8C" w14:textId="65AD6D0F" w:rsidR="0073643B" w:rsidRDefault="00576789">
    <w:pPr>
      <w:pStyle w:val="Header"/>
    </w:pPr>
    <w:r>
      <w:rPr>
        <w:noProof/>
      </w:rPr>
      <w:pict w14:anchorId="042DA2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3704" o:spid="_x0000_s1026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B9B1" w14:textId="59A8C371" w:rsidR="0073643B" w:rsidRDefault="00576789">
    <w:pPr>
      <w:pStyle w:val="Header"/>
    </w:pPr>
    <w:r>
      <w:rPr>
        <w:noProof/>
      </w:rPr>
      <w:pict w14:anchorId="288D8E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3705" o:spid="_x0000_s1027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raft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6428" w14:textId="67E24D6B" w:rsidR="0073643B" w:rsidRDefault="00576789">
    <w:pPr>
      <w:pStyle w:val="Header"/>
    </w:pPr>
    <w:r>
      <w:rPr>
        <w:noProof/>
      </w:rPr>
      <w:pict w14:anchorId="6A8413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3703" o:spid="_x0000_s1025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raft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783"/>
    <w:multiLevelType w:val="multilevel"/>
    <w:tmpl w:val="EC0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2367"/>
    <w:multiLevelType w:val="multilevel"/>
    <w:tmpl w:val="D1C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F43C6"/>
    <w:multiLevelType w:val="multilevel"/>
    <w:tmpl w:val="86D4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A18CB"/>
    <w:multiLevelType w:val="hybridMultilevel"/>
    <w:tmpl w:val="A6EE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7EA8"/>
    <w:multiLevelType w:val="multilevel"/>
    <w:tmpl w:val="B34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21DC7"/>
    <w:multiLevelType w:val="multilevel"/>
    <w:tmpl w:val="2850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033FF"/>
    <w:multiLevelType w:val="multilevel"/>
    <w:tmpl w:val="0B8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833B2"/>
    <w:multiLevelType w:val="multilevel"/>
    <w:tmpl w:val="DC2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C6750"/>
    <w:multiLevelType w:val="multilevel"/>
    <w:tmpl w:val="8DCA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83B99"/>
    <w:multiLevelType w:val="multilevel"/>
    <w:tmpl w:val="4E3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14C1E"/>
    <w:multiLevelType w:val="multilevel"/>
    <w:tmpl w:val="D7DE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25E83"/>
    <w:multiLevelType w:val="hybridMultilevel"/>
    <w:tmpl w:val="0136E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A2604"/>
    <w:multiLevelType w:val="multilevel"/>
    <w:tmpl w:val="450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424DC"/>
    <w:multiLevelType w:val="multilevel"/>
    <w:tmpl w:val="9ECE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75EBE"/>
    <w:multiLevelType w:val="multilevel"/>
    <w:tmpl w:val="EC8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7727A"/>
    <w:multiLevelType w:val="multilevel"/>
    <w:tmpl w:val="E72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D1A2E"/>
    <w:multiLevelType w:val="multilevel"/>
    <w:tmpl w:val="1E3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500F2"/>
    <w:multiLevelType w:val="multilevel"/>
    <w:tmpl w:val="02AA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B35E7"/>
    <w:multiLevelType w:val="multilevel"/>
    <w:tmpl w:val="2B6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A6E89"/>
    <w:multiLevelType w:val="multilevel"/>
    <w:tmpl w:val="7C88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80171"/>
    <w:multiLevelType w:val="multilevel"/>
    <w:tmpl w:val="EFD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05B4C"/>
    <w:multiLevelType w:val="multilevel"/>
    <w:tmpl w:val="6824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4791B"/>
    <w:multiLevelType w:val="hybridMultilevel"/>
    <w:tmpl w:val="963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540A6"/>
    <w:multiLevelType w:val="multilevel"/>
    <w:tmpl w:val="A44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C1688"/>
    <w:multiLevelType w:val="multilevel"/>
    <w:tmpl w:val="419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E410F"/>
    <w:multiLevelType w:val="multilevel"/>
    <w:tmpl w:val="307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77310"/>
    <w:multiLevelType w:val="multilevel"/>
    <w:tmpl w:val="E5E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27AA1"/>
    <w:multiLevelType w:val="multilevel"/>
    <w:tmpl w:val="862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631D0"/>
    <w:multiLevelType w:val="multilevel"/>
    <w:tmpl w:val="735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A2B1C"/>
    <w:multiLevelType w:val="multilevel"/>
    <w:tmpl w:val="016C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467AE"/>
    <w:multiLevelType w:val="multilevel"/>
    <w:tmpl w:val="AF1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65BBD"/>
    <w:multiLevelType w:val="multilevel"/>
    <w:tmpl w:val="5C7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21069"/>
    <w:multiLevelType w:val="multilevel"/>
    <w:tmpl w:val="607A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85D72"/>
    <w:multiLevelType w:val="multilevel"/>
    <w:tmpl w:val="336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941295"/>
    <w:multiLevelType w:val="multilevel"/>
    <w:tmpl w:val="420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44897"/>
    <w:multiLevelType w:val="multilevel"/>
    <w:tmpl w:val="1D6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A7E3F"/>
    <w:multiLevelType w:val="multilevel"/>
    <w:tmpl w:val="3AD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CF6245"/>
    <w:multiLevelType w:val="multilevel"/>
    <w:tmpl w:val="869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16674F"/>
    <w:multiLevelType w:val="hybridMultilevel"/>
    <w:tmpl w:val="75C0C32C"/>
    <w:lvl w:ilvl="0" w:tplc="E6D4F7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57796"/>
    <w:multiLevelType w:val="multilevel"/>
    <w:tmpl w:val="271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866801">
    <w:abstractNumId w:val="32"/>
  </w:num>
  <w:num w:numId="2" w16cid:durableId="138039290">
    <w:abstractNumId w:val="8"/>
  </w:num>
  <w:num w:numId="3" w16cid:durableId="702485703">
    <w:abstractNumId w:val="31"/>
  </w:num>
  <w:num w:numId="4" w16cid:durableId="221136432">
    <w:abstractNumId w:val="25"/>
  </w:num>
  <w:num w:numId="5" w16cid:durableId="764427200">
    <w:abstractNumId w:val="30"/>
  </w:num>
  <w:num w:numId="6" w16cid:durableId="1793015871">
    <w:abstractNumId w:val="0"/>
  </w:num>
  <w:num w:numId="7" w16cid:durableId="1860505282">
    <w:abstractNumId w:val="36"/>
  </w:num>
  <w:num w:numId="8" w16cid:durableId="395512010">
    <w:abstractNumId w:val="34"/>
  </w:num>
  <w:num w:numId="9" w16cid:durableId="1537305491">
    <w:abstractNumId w:val="28"/>
  </w:num>
  <w:num w:numId="10" w16cid:durableId="23018516">
    <w:abstractNumId w:val="16"/>
  </w:num>
  <w:num w:numId="11" w16cid:durableId="649217129">
    <w:abstractNumId w:val="21"/>
  </w:num>
  <w:num w:numId="12" w16cid:durableId="433793894">
    <w:abstractNumId w:val="23"/>
  </w:num>
  <w:num w:numId="13" w16cid:durableId="870873190">
    <w:abstractNumId w:val="9"/>
  </w:num>
  <w:num w:numId="14" w16cid:durableId="2076736913">
    <w:abstractNumId w:val="18"/>
  </w:num>
  <w:num w:numId="15" w16cid:durableId="1167556072">
    <w:abstractNumId w:val="33"/>
  </w:num>
  <w:num w:numId="16" w16cid:durableId="1555576714">
    <w:abstractNumId w:val="2"/>
  </w:num>
  <w:num w:numId="17" w16cid:durableId="1420984196">
    <w:abstractNumId w:val="29"/>
  </w:num>
  <w:num w:numId="18" w16cid:durableId="1356495600">
    <w:abstractNumId w:val="26"/>
  </w:num>
  <w:num w:numId="19" w16cid:durableId="1872065530">
    <w:abstractNumId w:val="4"/>
  </w:num>
  <w:num w:numId="20" w16cid:durableId="1635941968">
    <w:abstractNumId w:val="12"/>
  </w:num>
  <w:num w:numId="21" w16cid:durableId="583340333">
    <w:abstractNumId w:val="14"/>
  </w:num>
  <w:num w:numId="22" w16cid:durableId="960918535">
    <w:abstractNumId w:val="6"/>
  </w:num>
  <w:num w:numId="23" w16cid:durableId="1321419424">
    <w:abstractNumId w:val="39"/>
  </w:num>
  <w:num w:numId="24" w16cid:durableId="1425029081">
    <w:abstractNumId w:val="1"/>
  </w:num>
  <w:num w:numId="25" w16cid:durableId="666981318">
    <w:abstractNumId w:val="27"/>
  </w:num>
  <w:num w:numId="26" w16cid:durableId="1810708041">
    <w:abstractNumId w:val="13"/>
  </w:num>
  <w:num w:numId="27" w16cid:durableId="331031940">
    <w:abstractNumId w:val="20"/>
  </w:num>
  <w:num w:numId="28" w16cid:durableId="884683395">
    <w:abstractNumId w:val="35"/>
  </w:num>
  <w:num w:numId="29" w16cid:durableId="1134520965">
    <w:abstractNumId w:val="7"/>
  </w:num>
  <w:num w:numId="30" w16cid:durableId="1062219519">
    <w:abstractNumId w:val="37"/>
  </w:num>
  <w:num w:numId="31" w16cid:durableId="785082555">
    <w:abstractNumId w:val="17"/>
  </w:num>
  <w:num w:numId="32" w16cid:durableId="1463112596">
    <w:abstractNumId w:val="15"/>
  </w:num>
  <w:num w:numId="33" w16cid:durableId="1386491708">
    <w:abstractNumId w:val="10"/>
  </w:num>
  <w:num w:numId="34" w16cid:durableId="1931353837">
    <w:abstractNumId w:val="24"/>
  </w:num>
  <w:num w:numId="35" w16cid:durableId="923993175">
    <w:abstractNumId w:val="5"/>
  </w:num>
  <w:num w:numId="36" w16cid:durableId="116065846">
    <w:abstractNumId w:val="19"/>
  </w:num>
  <w:num w:numId="37" w16cid:durableId="1850097160">
    <w:abstractNumId w:val="11"/>
  </w:num>
  <w:num w:numId="38" w16cid:durableId="46151762">
    <w:abstractNumId w:val="38"/>
  </w:num>
  <w:num w:numId="39" w16cid:durableId="169374178">
    <w:abstractNumId w:val="22"/>
  </w:num>
  <w:num w:numId="40" w16cid:durableId="941063616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A"/>
    <w:rsid w:val="001033FA"/>
    <w:rsid w:val="00157ABF"/>
    <w:rsid w:val="00170CBC"/>
    <w:rsid w:val="0017124C"/>
    <w:rsid w:val="00174B00"/>
    <w:rsid w:val="00191CAB"/>
    <w:rsid w:val="001F79FD"/>
    <w:rsid w:val="00271FA4"/>
    <w:rsid w:val="002B2B74"/>
    <w:rsid w:val="002B7CCA"/>
    <w:rsid w:val="002D68D5"/>
    <w:rsid w:val="002D6CCE"/>
    <w:rsid w:val="00383F27"/>
    <w:rsid w:val="00387032"/>
    <w:rsid w:val="003B0871"/>
    <w:rsid w:val="003E3E17"/>
    <w:rsid w:val="003F04D8"/>
    <w:rsid w:val="004504B5"/>
    <w:rsid w:val="00462013"/>
    <w:rsid w:val="005016AF"/>
    <w:rsid w:val="0056580F"/>
    <w:rsid w:val="00576789"/>
    <w:rsid w:val="005A1003"/>
    <w:rsid w:val="005B76EF"/>
    <w:rsid w:val="006026D3"/>
    <w:rsid w:val="00613C8D"/>
    <w:rsid w:val="006423AA"/>
    <w:rsid w:val="00673363"/>
    <w:rsid w:val="006C1D8E"/>
    <w:rsid w:val="007325C5"/>
    <w:rsid w:val="0073643B"/>
    <w:rsid w:val="00746008"/>
    <w:rsid w:val="00757EB7"/>
    <w:rsid w:val="007627CE"/>
    <w:rsid w:val="00773625"/>
    <w:rsid w:val="0078675E"/>
    <w:rsid w:val="00787CCB"/>
    <w:rsid w:val="00793A0E"/>
    <w:rsid w:val="007E2E63"/>
    <w:rsid w:val="00845026"/>
    <w:rsid w:val="0085165E"/>
    <w:rsid w:val="008A040F"/>
    <w:rsid w:val="008C1657"/>
    <w:rsid w:val="00994350"/>
    <w:rsid w:val="00996DC1"/>
    <w:rsid w:val="009D1B5D"/>
    <w:rsid w:val="009D30E3"/>
    <w:rsid w:val="009E24B9"/>
    <w:rsid w:val="00A130D9"/>
    <w:rsid w:val="00A15B21"/>
    <w:rsid w:val="00A46869"/>
    <w:rsid w:val="00A66238"/>
    <w:rsid w:val="00A73337"/>
    <w:rsid w:val="00AD336A"/>
    <w:rsid w:val="00AE79D9"/>
    <w:rsid w:val="00AF006A"/>
    <w:rsid w:val="00AF5834"/>
    <w:rsid w:val="00B4420F"/>
    <w:rsid w:val="00B63764"/>
    <w:rsid w:val="00B81B0B"/>
    <w:rsid w:val="00B87A97"/>
    <w:rsid w:val="00B956BF"/>
    <w:rsid w:val="00BB4124"/>
    <w:rsid w:val="00BC36A4"/>
    <w:rsid w:val="00C42108"/>
    <w:rsid w:val="00CC5819"/>
    <w:rsid w:val="00CE27B0"/>
    <w:rsid w:val="00D37F10"/>
    <w:rsid w:val="00D474A8"/>
    <w:rsid w:val="00DA7219"/>
    <w:rsid w:val="00DC0A36"/>
    <w:rsid w:val="00DC5312"/>
    <w:rsid w:val="00DD2031"/>
    <w:rsid w:val="00E1721C"/>
    <w:rsid w:val="00E319BF"/>
    <w:rsid w:val="00E750F2"/>
    <w:rsid w:val="00F32539"/>
    <w:rsid w:val="00F40F22"/>
    <w:rsid w:val="00F556FA"/>
    <w:rsid w:val="00F56D78"/>
    <w:rsid w:val="00F8058B"/>
    <w:rsid w:val="00F87103"/>
    <w:rsid w:val="00FB0D90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1EFD"/>
  <w15:chartTrackingRefBased/>
  <w15:docId w15:val="{31AA5C1B-E13F-47DA-8DFB-DF66E3E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0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6A"/>
  </w:style>
  <w:style w:type="paragraph" w:styleId="Footer">
    <w:name w:val="footer"/>
    <w:basedOn w:val="Normal"/>
    <w:link w:val="FooterChar"/>
    <w:uiPriority w:val="99"/>
    <w:unhideWhenUsed/>
    <w:rsid w:val="00AF0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A012-43E2-4947-913C-A2E6C13B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Connolly</dc:creator>
  <cp:keywords/>
  <dc:description/>
  <cp:lastModifiedBy>Andy Freegard</cp:lastModifiedBy>
  <cp:revision>3</cp:revision>
  <cp:lastPrinted>2025-09-04T13:01:00Z</cp:lastPrinted>
  <dcterms:created xsi:type="dcterms:W3CDTF">2025-09-05T10:26:00Z</dcterms:created>
  <dcterms:modified xsi:type="dcterms:W3CDTF">2025-09-05T15:06:00Z</dcterms:modified>
</cp:coreProperties>
</file>